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72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2938"/>
        <w:gridCol w:w="2241"/>
        <w:gridCol w:w="7553"/>
      </w:tblGrid>
      <w:tr w:rsidR="009B46CB" w:rsidRPr="00517541" w:rsidTr="009B46CB">
        <w:trPr>
          <w:trHeight w:val="606"/>
        </w:trPr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ΕΙΔΟΣ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ΕΙΣΑΓΟΝΤΑΙ</w:t>
            </w:r>
          </w:p>
        </w:tc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ΧΡΗΣ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val="en-US" w:eastAsia="el-GR"/>
              </w:rPr>
              <w:t>H</w:t>
            </w:r>
          </w:p>
        </w:tc>
        <w:tc>
          <w:tcPr>
            <w:tcW w:w="6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ΠΑΡΑΔΕΙΓΜΑΤΑ</w:t>
            </w:r>
          </w:p>
        </w:tc>
      </w:tr>
      <w:tr w:rsidR="009B46CB" w:rsidRPr="00517541" w:rsidTr="009B46CB">
        <w:trPr>
          <w:trHeight w:val="1988"/>
        </w:trPr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ΕΙΔΙΚΕΣ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τους ειδικούς συνδέσμους: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ὅτι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ὡς</w:t>
            </w:r>
            <w:proofErr w:type="spellEnd"/>
          </w:p>
        </w:tc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1. αντικείμενο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2. υποκείμενο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3. επεξήγηση</w:t>
            </w:r>
          </w:p>
        </w:tc>
        <w:tc>
          <w:tcPr>
            <w:tcW w:w="6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1.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Οὗτοι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ἔλεγον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ὅτι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Κῦρος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τέθνηκεν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2.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Οὐ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γὰρ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ἠγγέλθη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αὐτοῖς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ὅτι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τεθνηκότες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εἶεν</w:t>
            </w:r>
            <w:proofErr w:type="spellEnd"/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3.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Ταῦτα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λέγω,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ὡς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τὸ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παράπαν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οὐ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νομίζεις θεούς</w:t>
            </w: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Vusillus Old Face" w:eastAsia="Times New Roman" w:hAnsi="Vusillus Old Face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9B46CB" w:rsidRPr="00517541" w:rsidTr="009B46CB">
        <w:trPr>
          <w:trHeight w:val="1489"/>
        </w:trPr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ΕΝΔΟΙΑΣΤΙΚΕΣ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το ενδοιαστικό μόριο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μή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ή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μὴ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FFFF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οὐ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ή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ὅπως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μη</w:t>
            </w:r>
          </w:p>
        </w:tc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1. αντικείμενο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2. υποκείμενο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3. επεξήγηση</w:t>
            </w:r>
          </w:p>
        </w:tc>
        <w:tc>
          <w:tcPr>
            <w:tcW w:w="6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1.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Δέδιμεν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μὴ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FFFF99"/>
                <w:sz w:val="16"/>
                <w:szCs w:val="16"/>
                <w:lang w:eastAsia="el-GR"/>
              </w:rPr>
              <w:t> 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οὐ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FFFF99"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βέβαιοι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ἦτε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. 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2.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Ἐφαίνετο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δεινὸν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εἶναι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μὴ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οἱ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στρατιῶται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δύσνοι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ὦσιν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3.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Ἔστι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μάλιστα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τοῦτο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δέος,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μὴ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τρέψηται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καὶ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παρασπάσηταί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τι των πραγμάτων.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</w:tc>
      </w:tr>
      <w:tr w:rsidR="009B46CB" w:rsidRPr="00517541" w:rsidTr="009B46CB">
        <w:trPr>
          <w:trHeight w:val="5194"/>
        </w:trPr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ΠΛΑΓΙΕΣ ΕΡΩΤΗΜΑΤΙΚΕΣ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το: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εἰ</w:t>
            </w:r>
            <w:proofErr w:type="spellEnd"/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Όταν είναι διμερείς με τα: 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εἰ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-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 xml:space="preserve"> ἤ,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εἴτε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εἴτε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πότερον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-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ἤ,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πότερα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-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FFFF99"/>
                <w:sz w:val="16"/>
                <w:szCs w:val="16"/>
                <w:lang w:eastAsia="el-GR"/>
              </w:rPr>
              <w:t>ἤ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τις ερωτηματικές αντωνυμίες: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τίς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πότερος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πόσος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ποῖος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πηλίκος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ποδαπός</w:t>
            </w:r>
            <w:proofErr w:type="spellEnd"/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τις αναφορικές αντωνυμίες: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ὅστις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ὁπότερος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ὁπόσος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ὁποῖος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ἡλίκος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ὁπηλίκος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ὁποδαπός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τα ερωτηματικά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επιρ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.: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ποῦ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ποῖ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πόθεν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πῇ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,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πῶς</w:t>
            </w:r>
            <w:proofErr w:type="spellEnd"/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τα αναφορικά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επιρ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οὗ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ὅπου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ὅποι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ὁπόθεν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ᾗ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ὅπῃ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ὡς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ὅπως</w:t>
            </w:r>
            <w:proofErr w:type="spellEnd"/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1. αντικείμενο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2. υποκείμενο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3. επεξήγηση</w:t>
            </w:r>
          </w:p>
        </w:tc>
        <w:tc>
          <w:tcPr>
            <w:tcW w:w="6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1.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Ἐρήσομαι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ὅστις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ἐστὶν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ὁ διδάσκαλος.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2.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Οὔκ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ἐστιν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ὅπως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ἡσυχίαν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σχήσει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Φίλιππος.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3.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Τοῦτ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’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αὐτό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απόκριναι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FFFF99"/>
                <w:sz w:val="16"/>
                <w:szCs w:val="16"/>
                <w:lang w:eastAsia="el-GR"/>
              </w:rPr>
              <w:t>εἰ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ἀληθῆ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λέγομεν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ἤ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οὐκ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ἀληθῆ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</w:tc>
      </w:tr>
      <w:tr w:rsidR="009B46CB" w:rsidRPr="00517541" w:rsidTr="009B46CB">
        <w:trPr>
          <w:trHeight w:val="3334"/>
        </w:trPr>
        <w:tc>
          <w:tcPr>
            <w:tcW w:w="1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lastRenderedPageBreak/>
              <w:t>ΑΝΑΦΟΡΙΚΕΣ</w:t>
            </w:r>
          </w:p>
        </w:tc>
        <w:tc>
          <w:tcPr>
            <w:tcW w:w="26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vAlign w:val="center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 τις αναφορικές αντωνυμίες: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 xml:space="preserve">, ἥ, ὅ, 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ὅσπερ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ἥπερ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ὅπερ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ὅστις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ἥτις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ὅτι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ὁπότερος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ὁποτέρα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ὁπότερον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ὁποῖος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ὁποῖα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ὁποῖον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ἡλίκος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ἡλίκη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ἡλίκον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ὁπηλίκος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ὁπηλίκη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ὁπηλίκον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ὁποδαπός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ὁποδαπή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ὁποδαπόν</w:t>
            </w:r>
            <w:proofErr w:type="spellEnd"/>
          </w:p>
        </w:tc>
        <w:tc>
          <w:tcPr>
            <w:tcW w:w="2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1. υποκείμενο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2. κατηγορούμενο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3. αντικείμενο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4. παράθεση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5. επεξήγηση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6. επιθετικός προσδιορισμός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99"/>
            <w:hideMark/>
          </w:tcPr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1.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Ὅστις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ἑαυτὸν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φιλεῖ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μετ’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ἐμοῦ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μαχέσθω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2.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Οὗτός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ἐστιν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ἀπέκτεινε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τοὺς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στρατηγούς.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3.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Τιμωροῦνται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καὶ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κολάζονται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οὕς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ἂν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οἴωνται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ἀδικεῖν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4.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Ἦν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δέ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τις,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Φαρναβάζῳ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ἐτύγχανε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5.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Οἷμαι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ἂν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ἡμᾶς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παθεῖν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τοιαῦτα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οἷα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τοὺς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ἐχθρούς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οἱ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θεοί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ποιήσειαν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6.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Ἔτυχεν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ἡ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πρύμνα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ἐστεμμένη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>τοῦ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sz w:val="16"/>
                <w:szCs w:val="16"/>
                <w:lang w:eastAsia="el-GR"/>
              </w:rPr>
              <w:t xml:space="preserve"> πλοίου, 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color w:val="0000FF"/>
                <w:sz w:val="16"/>
                <w:szCs w:val="16"/>
                <w:lang w:eastAsia="el-GR"/>
              </w:rPr>
              <w:t>ὅ</w:t>
            </w:r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εἰς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Δῆλον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Ἀθηναῖοι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πέμπουσιν</w:t>
            </w:r>
            <w:proofErr w:type="spellEnd"/>
            <w:r w:rsidRPr="00517541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9B46CB" w:rsidRPr="00517541" w:rsidRDefault="009B46CB" w:rsidP="009B46CB">
            <w:pPr>
              <w:spacing w:after="0" w:line="360" w:lineRule="auto"/>
              <w:ind w:left="27" w:right="27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517541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 </w:t>
            </w:r>
          </w:p>
        </w:tc>
      </w:tr>
    </w:tbl>
    <w:p w:rsidR="00054042" w:rsidRPr="00517541" w:rsidRDefault="00054042">
      <w:pPr>
        <w:rPr>
          <w:sz w:val="16"/>
          <w:szCs w:val="16"/>
        </w:rPr>
      </w:pP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b/>
          <w:bCs/>
          <w:sz w:val="16"/>
          <w:szCs w:val="16"/>
          <w:shd w:val="clear" w:color="auto" w:fill="FFFF99"/>
        </w:rPr>
        <w:t>Δευτερεύουσα πρόταση</w:t>
      </w:r>
      <w:r w:rsidRPr="00517541">
        <w:rPr>
          <w:rFonts w:ascii="Palatino Linotype" w:hAnsi="Palatino Linotype"/>
          <w:sz w:val="16"/>
          <w:szCs w:val="16"/>
        </w:rPr>
        <w:t xml:space="preserve"> λέγεται η πρόταση που δεν μπορεί να σταθεί μόνη της στο λόγο, αλλά εξαρτάται από μια κύρια ή από μια άλλη δευτερεύουσα της οποίας συμπληρώνει το νόημα· χρησιμοποιείται είτε ως όρος της πρότασης από την οποία εξαρτάται (υποκείμενο, αντικείμενο, κατηγορούμενο, προσδιορισμός) είτε ως επιρρηματικός προσδιορισμός, π.χ.</w:t>
      </w:r>
    </w:p>
    <w:p w:rsidR="009B46CB" w:rsidRPr="00517541" w:rsidRDefault="009B46CB" w:rsidP="009B46CB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ind w:left="788" w:right="68"/>
        <w:rPr>
          <w:sz w:val="16"/>
          <w:szCs w:val="16"/>
        </w:rPr>
      </w:pPr>
      <w:proofErr w:type="spellStart"/>
      <w:r w:rsidRPr="00517541">
        <w:rPr>
          <w:rFonts w:ascii="Palatino Linotype" w:hAnsi="Palatino Linotype"/>
          <w:sz w:val="16"/>
          <w:szCs w:val="16"/>
        </w:rPr>
        <w:t>Οὗτοι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sz w:val="16"/>
          <w:szCs w:val="16"/>
        </w:rPr>
        <w:t>ἔλεγον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ὅτι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Κῦρος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τέθνηκεν</w:t>
      </w:r>
      <w:proofErr w:type="spellEnd"/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78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(=</w:t>
      </w:r>
      <w:r w:rsidRPr="00517541">
        <w:rPr>
          <w:rFonts w:ascii="Palatino Linotype" w:hAnsi="Palatino Linotype"/>
          <w:b/>
          <w:bCs/>
          <w:color w:val="FFFF99"/>
          <w:sz w:val="16"/>
          <w:szCs w:val="16"/>
        </w:rPr>
        <w:t xml:space="preserve"> </w:t>
      </w:r>
      <w:r w:rsidRPr="00517541">
        <w:rPr>
          <w:rFonts w:ascii="Palatino Linotype" w:hAnsi="Palatino Linotype"/>
          <w:sz w:val="16"/>
          <w:szCs w:val="16"/>
        </w:rPr>
        <w:t>Αυτοί έλεγαν ότι ο Κύρος έχει πεθάνει)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Η πρόταση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ὅτι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Κῦρος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τέθνηκεν</w:t>
      </w:r>
      <w:proofErr w:type="spellEnd"/>
      <w:r w:rsidRPr="00517541">
        <w:rPr>
          <w:rFonts w:ascii="Palatino Linotype" w:hAnsi="Palatino Linotype"/>
          <w:color w:val="0000FF"/>
          <w:sz w:val="16"/>
          <w:szCs w:val="16"/>
        </w:rPr>
        <w:t xml:space="preserve"> </w:t>
      </w:r>
      <w:r w:rsidRPr="00517541">
        <w:rPr>
          <w:rFonts w:ascii="Palatino Linotype" w:hAnsi="Palatino Linotype"/>
          <w:sz w:val="16"/>
          <w:szCs w:val="16"/>
        </w:rPr>
        <w:t xml:space="preserve">είναι δευτερεύουσα, γιατί δεν μπορεί να σταθεί μόνη της στο λόγο, εξαρτάται από την κύρια πρόταση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οὗτοι</w:t>
      </w:r>
      <w:proofErr w:type="spellEnd"/>
      <w:r w:rsidRPr="00517541">
        <w:rPr>
          <w:rFonts w:ascii="Palatino Linotype" w:hAnsi="Palatino Linotype"/>
          <w:b/>
          <w:bCs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ἔλεγον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, συμπληρώνει το νόημά της και χρησιμοποιείται ως αντικείμενο του ρ. της </w:t>
      </w:r>
      <w:proofErr w:type="spellStart"/>
      <w:r w:rsidRPr="00517541">
        <w:rPr>
          <w:rFonts w:ascii="Palatino Linotype" w:hAnsi="Palatino Linotype"/>
          <w:sz w:val="16"/>
          <w:szCs w:val="16"/>
        </w:rPr>
        <w:t>κ.π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.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ἔλεγον</w:t>
      </w:r>
      <w:proofErr w:type="spellEnd"/>
      <w:r w:rsidRPr="00517541">
        <w:rPr>
          <w:rFonts w:ascii="Palatino Linotype" w:hAnsi="Palatino Linotype"/>
          <w:sz w:val="16"/>
          <w:szCs w:val="16"/>
        </w:rPr>
        <w:t>.</w:t>
      </w:r>
    </w:p>
    <w:p w:rsidR="009B46CB" w:rsidRPr="00517541" w:rsidRDefault="009B46CB" w:rsidP="009B46CB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ind w:left="788" w:right="68"/>
        <w:rPr>
          <w:sz w:val="16"/>
          <w:szCs w:val="16"/>
        </w:rPr>
      </w:pP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Ὅτε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ἡ ναυμαχία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ἐγένετο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, </w:t>
      </w:r>
      <w:proofErr w:type="spellStart"/>
      <w:r w:rsidRPr="00517541">
        <w:rPr>
          <w:rFonts w:ascii="Palatino Linotype" w:hAnsi="Palatino Linotype"/>
          <w:sz w:val="16"/>
          <w:szCs w:val="16"/>
        </w:rPr>
        <w:t>ἔτυχεν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sz w:val="16"/>
          <w:szCs w:val="16"/>
        </w:rPr>
        <w:t>ἐν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sz w:val="16"/>
          <w:szCs w:val="16"/>
        </w:rPr>
        <w:t>Ἀβύδῳ</w:t>
      </w:r>
      <w:proofErr w:type="spellEnd"/>
      <w:r w:rsidRPr="00517541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sz w:val="16"/>
          <w:szCs w:val="16"/>
        </w:rPr>
        <w:t>ὤν</w:t>
      </w:r>
      <w:proofErr w:type="spellEnd"/>
      <w:r w:rsidRPr="00517541">
        <w:rPr>
          <w:rFonts w:ascii="Palatino Linotype" w:hAnsi="Palatino Linotype"/>
          <w:sz w:val="16"/>
          <w:szCs w:val="16"/>
        </w:rPr>
        <w:t>.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78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(= Όταν έγινε η ναυμαχία, έτυχε να βρίσκεται στην Άβυδο.)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Η πρόταση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Ὅτε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ἡ ναυμαχία </w:t>
      </w:r>
      <w:proofErr w:type="spellStart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ἐγένετο</w:t>
      </w:r>
      <w:proofErr w:type="spellEnd"/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 xml:space="preserve"> </w:t>
      </w:r>
      <w:r w:rsidRPr="00517541">
        <w:rPr>
          <w:rFonts w:ascii="Palatino Linotype" w:hAnsi="Palatino Linotype"/>
          <w:sz w:val="16"/>
          <w:szCs w:val="16"/>
        </w:rPr>
        <w:t xml:space="preserve">είναι δευτερεύουσα, γιατί δεν μπορεί να σταθεί μόνη της στο λόγο, εξαρτάται από την κύρια πρόταση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ἔτυχεν</w:t>
      </w:r>
      <w:proofErr w:type="spellEnd"/>
      <w:r w:rsidRPr="00517541">
        <w:rPr>
          <w:rFonts w:ascii="Palatino Linotype" w:hAnsi="Palatino Linotype"/>
          <w:b/>
          <w:bCs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ἐν</w:t>
      </w:r>
      <w:proofErr w:type="spellEnd"/>
      <w:r w:rsidRPr="00517541">
        <w:rPr>
          <w:rFonts w:ascii="Palatino Linotype" w:hAnsi="Palatino Linotype"/>
          <w:b/>
          <w:bCs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Ἀβύδῳ</w:t>
      </w:r>
      <w:proofErr w:type="spellEnd"/>
      <w:r w:rsidRPr="00517541">
        <w:rPr>
          <w:rFonts w:ascii="Palatino Linotype" w:hAnsi="Palatino Linotype"/>
          <w:b/>
          <w:bCs/>
          <w:sz w:val="16"/>
          <w:szCs w:val="16"/>
        </w:rPr>
        <w:t xml:space="preserve"> </w:t>
      </w:r>
      <w:proofErr w:type="spellStart"/>
      <w:r w:rsidRPr="00517541">
        <w:rPr>
          <w:rFonts w:ascii="Palatino Linotype" w:hAnsi="Palatino Linotype"/>
          <w:b/>
          <w:bCs/>
          <w:sz w:val="16"/>
          <w:szCs w:val="16"/>
        </w:rPr>
        <w:t>ὤν</w:t>
      </w:r>
      <w:proofErr w:type="spellEnd"/>
      <w:r w:rsidRPr="00517541">
        <w:rPr>
          <w:rFonts w:ascii="Palatino Linotype" w:hAnsi="Palatino Linotype"/>
          <w:sz w:val="16"/>
          <w:szCs w:val="16"/>
        </w:rPr>
        <w:t>, συμπληρώνει το νόημά της και χρησιμοποιείται ως επιρρηματικός προσδιορισμός του χρόνου.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sz w:val="16"/>
          <w:szCs w:val="16"/>
        </w:rPr>
        <w:t> 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sz w:val="16"/>
          <w:szCs w:val="16"/>
        </w:rPr>
        <w:t> 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Οι δευτερεύουσες προτάσεις συνδέονται με την πρόταση από την οποία εξαρτώνται με </w:t>
      </w:r>
      <w:hyperlink r:id="rId7" w:anchor="%CF%85%CF%80%CE%BF%CF%84%CE%B1%CE%BA%CF%84%CE%B9%CE%BA%CE%AE" w:tgtFrame="_blank" w:history="1">
        <w:r w:rsidRPr="00517541">
          <w:rPr>
            <w:rStyle w:val="-"/>
            <w:rFonts w:ascii="Palatino Linotype" w:hAnsi="Palatino Linotype"/>
            <w:b/>
            <w:bCs/>
            <w:sz w:val="16"/>
            <w:szCs w:val="16"/>
          </w:rPr>
          <w:t>υποτακτική σύνδεση</w:t>
        </w:r>
      </w:hyperlink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Οι δευτερεύουσες προτάσεις εισάγονται (αρχίζουν) συνήθως με κάποιον από τους </w:t>
      </w:r>
      <w:hyperlink r:id="rId8" w:tgtFrame="_blank" w:history="1">
        <w:r w:rsidRPr="00517541">
          <w:rPr>
            <w:rStyle w:val="-"/>
            <w:rFonts w:ascii="Palatino Linotype" w:hAnsi="Palatino Linotype"/>
            <w:b/>
            <w:bCs/>
            <w:sz w:val="16"/>
            <w:szCs w:val="16"/>
          </w:rPr>
          <w:t>συνδέσμους</w:t>
        </w:r>
      </w:hyperlink>
      <w:r w:rsidRPr="00517541">
        <w:rPr>
          <w:rFonts w:ascii="Palatino Linotype" w:hAnsi="Palatino Linotype"/>
          <w:sz w:val="16"/>
          <w:szCs w:val="16"/>
        </w:rPr>
        <w:t>, αλλά και με επιρρήματα ή αντωνυμίες.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Οι δευτερεύουσες προτάσεις είναι συνολικά έντεκα (11) ειδών: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sz w:val="16"/>
          <w:szCs w:val="16"/>
        </w:rPr>
        <w:t> 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1) ειδικές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2) ενδοιαστικές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3) πλάγιες ερωτηματικές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4) αναφορικές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5) χρονικές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6) αιτιολογικές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lastRenderedPageBreak/>
        <w:t xml:space="preserve">7) τελικές 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8) υποθετικές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9) εναντιωματικές 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10) παραχωρητικές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>11) συμπερασματικές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sz w:val="16"/>
          <w:szCs w:val="16"/>
        </w:rPr>
        <w:t> </w:t>
      </w:r>
    </w:p>
    <w:p w:rsidR="009B46CB" w:rsidRPr="00AD0F94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b/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Από αυτές: οι </w:t>
      </w:r>
      <w:r w:rsidRPr="00517541">
        <w:rPr>
          <w:rFonts w:ascii="Palatino Linotype" w:hAnsi="Palatino Linotype"/>
          <w:b/>
          <w:bCs/>
          <w:sz w:val="16"/>
          <w:szCs w:val="16"/>
        </w:rPr>
        <w:t>ειδικές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ενδοιαστικές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πλάγιες</w:t>
      </w:r>
      <w:r w:rsidRPr="00517541">
        <w:rPr>
          <w:rFonts w:ascii="Palatino Linotype" w:hAnsi="Palatino Linotype"/>
          <w:sz w:val="16"/>
          <w:szCs w:val="16"/>
        </w:rPr>
        <w:t xml:space="preserve"> </w:t>
      </w:r>
      <w:r w:rsidRPr="00517541">
        <w:rPr>
          <w:rFonts w:ascii="Palatino Linotype" w:hAnsi="Palatino Linotype"/>
          <w:b/>
          <w:bCs/>
          <w:sz w:val="16"/>
          <w:szCs w:val="16"/>
        </w:rPr>
        <w:t>ερωτηματικές</w:t>
      </w:r>
      <w:r w:rsidRPr="00517541">
        <w:rPr>
          <w:rFonts w:ascii="Palatino Linotype" w:hAnsi="Palatino Linotype"/>
          <w:sz w:val="16"/>
          <w:szCs w:val="16"/>
        </w:rPr>
        <w:t xml:space="preserve"> και κάποιες από τις </w:t>
      </w:r>
      <w:r w:rsidRPr="00517541">
        <w:rPr>
          <w:rFonts w:ascii="Palatino Linotype" w:hAnsi="Palatino Linotype"/>
          <w:b/>
          <w:bCs/>
          <w:sz w:val="16"/>
          <w:szCs w:val="16"/>
        </w:rPr>
        <w:t>αναφορικές</w:t>
      </w:r>
      <w:r w:rsidRPr="00517541">
        <w:rPr>
          <w:rFonts w:ascii="Palatino Linotype" w:hAnsi="Palatino Linotype"/>
          <w:sz w:val="16"/>
          <w:szCs w:val="16"/>
        </w:rPr>
        <w:t xml:space="preserve"> </w:t>
      </w:r>
      <w:r w:rsidRPr="00AD0F94">
        <w:rPr>
          <w:rFonts w:ascii="Palatino Linotype" w:hAnsi="Palatino Linotype"/>
          <w:b/>
          <w:sz w:val="16"/>
          <w:szCs w:val="16"/>
        </w:rPr>
        <w:t xml:space="preserve">λειτουργούν σαν ονόματα, δηλαδή χρησιμοποιούνται ως υποκείμενο, αντικείμενο, κατηγορούμενο ή προσδιορισμός. Για το λόγο αυτό ονομάζονται </w:t>
      </w:r>
      <w:r w:rsidRPr="00AD0F94">
        <w:rPr>
          <w:rFonts w:ascii="Palatino Linotype" w:hAnsi="Palatino Linotype"/>
          <w:b/>
          <w:bCs/>
          <w:color w:val="0000FF"/>
          <w:sz w:val="16"/>
          <w:szCs w:val="16"/>
        </w:rPr>
        <w:t>ονοματικές</w:t>
      </w:r>
      <w:r w:rsidRPr="00AD0F94">
        <w:rPr>
          <w:rFonts w:ascii="Palatino Linotype" w:hAnsi="Palatino Linotype"/>
          <w:b/>
          <w:sz w:val="16"/>
          <w:szCs w:val="16"/>
        </w:rPr>
        <w:t xml:space="preserve">. 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rFonts w:ascii="Palatino Linotype" w:hAnsi="Palatino Linotype"/>
          <w:sz w:val="16"/>
          <w:szCs w:val="16"/>
        </w:rPr>
        <w:t xml:space="preserve">Οι </w:t>
      </w:r>
      <w:r w:rsidRPr="00517541">
        <w:rPr>
          <w:rFonts w:ascii="Palatino Linotype" w:hAnsi="Palatino Linotype"/>
          <w:b/>
          <w:bCs/>
          <w:sz w:val="16"/>
          <w:szCs w:val="16"/>
        </w:rPr>
        <w:t>χρονικές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αιτιολογικές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τελικές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υποθετικές,</w:t>
      </w:r>
      <w:r w:rsidRPr="00517541">
        <w:rPr>
          <w:rFonts w:ascii="Palatino Linotype" w:hAnsi="Palatino Linotype"/>
          <w:sz w:val="16"/>
          <w:szCs w:val="16"/>
        </w:rPr>
        <w:t xml:space="preserve"> οι </w:t>
      </w:r>
      <w:r w:rsidRPr="00517541">
        <w:rPr>
          <w:rFonts w:ascii="Palatino Linotype" w:hAnsi="Palatino Linotype"/>
          <w:b/>
          <w:bCs/>
          <w:sz w:val="16"/>
          <w:szCs w:val="16"/>
        </w:rPr>
        <w:t>εναντιωματικές</w:t>
      </w:r>
      <w:r w:rsidRPr="00517541">
        <w:rPr>
          <w:rFonts w:ascii="Palatino Linotype" w:hAnsi="Palatino Linotype"/>
          <w:sz w:val="16"/>
          <w:szCs w:val="16"/>
        </w:rPr>
        <w:t xml:space="preserve">, οι </w:t>
      </w:r>
      <w:r w:rsidRPr="00517541">
        <w:rPr>
          <w:rFonts w:ascii="Palatino Linotype" w:hAnsi="Palatino Linotype"/>
          <w:b/>
          <w:bCs/>
          <w:sz w:val="16"/>
          <w:szCs w:val="16"/>
        </w:rPr>
        <w:t>παραχωρητικές</w:t>
      </w:r>
      <w:r w:rsidRPr="00517541">
        <w:rPr>
          <w:rFonts w:ascii="Palatino Linotype" w:hAnsi="Palatino Linotype"/>
          <w:sz w:val="16"/>
          <w:szCs w:val="16"/>
        </w:rPr>
        <w:t xml:space="preserve"> και οι </w:t>
      </w:r>
      <w:r w:rsidRPr="00517541">
        <w:rPr>
          <w:rFonts w:ascii="Palatino Linotype" w:hAnsi="Palatino Linotype"/>
          <w:b/>
          <w:bCs/>
          <w:sz w:val="16"/>
          <w:szCs w:val="16"/>
        </w:rPr>
        <w:t>συμπερασματικές</w:t>
      </w:r>
      <w:r w:rsidRPr="00517541">
        <w:rPr>
          <w:rFonts w:ascii="Palatino Linotype" w:hAnsi="Palatino Linotype"/>
          <w:sz w:val="16"/>
          <w:szCs w:val="16"/>
        </w:rPr>
        <w:t xml:space="preserve">, και κάποιες από τις </w:t>
      </w:r>
      <w:r w:rsidRPr="00517541">
        <w:rPr>
          <w:rFonts w:ascii="Palatino Linotype" w:hAnsi="Palatino Linotype"/>
          <w:b/>
          <w:bCs/>
          <w:sz w:val="16"/>
          <w:szCs w:val="16"/>
        </w:rPr>
        <w:t>αναφορικές</w:t>
      </w:r>
      <w:r w:rsidRPr="00517541">
        <w:rPr>
          <w:rFonts w:ascii="Palatino Linotype" w:hAnsi="Palatino Linotype"/>
          <w:sz w:val="16"/>
          <w:szCs w:val="16"/>
        </w:rPr>
        <w:t xml:space="preserve"> λειτουργούν ως επιρρηματικοί προσδιορισμοί. Για το λόγο αυτό ονομάζονται </w:t>
      </w:r>
      <w:r w:rsidRPr="00517541">
        <w:rPr>
          <w:rFonts w:ascii="Palatino Linotype" w:hAnsi="Palatino Linotype"/>
          <w:b/>
          <w:bCs/>
          <w:color w:val="0000FF"/>
          <w:sz w:val="16"/>
          <w:szCs w:val="16"/>
        </w:rPr>
        <w:t>επιρρηματικές</w:t>
      </w:r>
      <w:r w:rsidRPr="00517541">
        <w:rPr>
          <w:rFonts w:ascii="Palatino Linotype" w:hAnsi="Palatino Linotype"/>
          <w:sz w:val="16"/>
          <w:szCs w:val="16"/>
        </w:rPr>
        <w:t>.</w:t>
      </w:r>
    </w:p>
    <w:p w:rsidR="009B46CB" w:rsidRPr="00517541" w:rsidRDefault="009B46CB" w:rsidP="009B46CB">
      <w:pPr>
        <w:pStyle w:val="Web"/>
        <w:spacing w:before="0" w:beforeAutospacing="0" w:after="0" w:afterAutospacing="0" w:line="360" w:lineRule="auto"/>
        <w:ind w:left="68" w:right="68"/>
        <w:rPr>
          <w:sz w:val="16"/>
          <w:szCs w:val="16"/>
        </w:rPr>
      </w:pPr>
      <w:r w:rsidRPr="00517541">
        <w:rPr>
          <w:sz w:val="16"/>
          <w:szCs w:val="16"/>
        </w:rPr>
        <w:t> </w:t>
      </w:r>
    </w:p>
    <w:p w:rsidR="009B46CB" w:rsidRPr="00517541" w:rsidRDefault="009B46CB">
      <w:pPr>
        <w:rPr>
          <w:sz w:val="16"/>
          <w:szCs w:val="16"/>
        </w:rPr>
      </w:pPr>
    </w:p>
    <w:sectPr w:rsidR="009B46CB" w:rsidRPr="00517541" w:rsidSect="0005404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DC" w:rsidRDefault="00271CDC" w:rsidP="009B46CB">
      <w:pPr>
        <w:spacing w:after="0" w:line="240" w:lineRule="auto"/>
      </w:pPr>
      <w:r>
        <w:separator/>
      </w:r>
    </w:p>
  </w:endnote>
  <w:endnote w:type="continuationSeparator" w:id="0">
    <w:p w:rsidR="00271CDC" w:rsidRDefault="00271CDC" w:rsidP="009B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usillus Old 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DC" w:rsidRDefault="00271CDC" w:rsidP="009B46CB">
      <w:pPr>
        <w:spacing w:after="0" w:line="240" w:lineRule="auto"/>
      </w:pPr>
      <w:r>
        <w:separator/>
      </w:r>
    </w:p>
  </w:footnote>
  <w:footnote w:type="continuationSeparator" w:id="0">
    <w:p w:rsidR="00271CDC" w:rsidRDefault="00271CDC" w:rsidP="009B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CB" w:rsidRPr="00AD0F94" w:rsidRDefault="00AD0F94">
    <w:pPr>
      <w:pStyle w:val="a3"/>
      <w:rPr>
        <w:b/>
      </w:rPr>
    </w:pPr>
    <w:r w:rsidRPr="00AD0F94">
      <w:rPr>
        <w:b/>
      </w:rPr>
      <w:t>Δ</w:t>
    </w:r>
    <w:r w:rsidR="009B46CB" w:rsidRPr="00AD0F94">
      <w:rPr>
        <w:b/>
      </w:rPr>
      <w:t>ευτερεύουσες προτάσεις.</w:t>
    </w:r>
    <w:r w:rsidR="009B46CB" w:rsidRPr="00AD0F94">
      <w:rPr>
        <w:b/>
        <w:noProof/>
        <w:lang w:eastAsia="el-GR"/>
      </w:rPr>
      <w:drawing>
        <wp:inline distT="0" distB="0" distL="0" distR="0">
          <wp:extent cx="801337" cy="526211"/>
          <wp:effectExtent l="19050" t="0" r="0" b="0"/>
          <wp:docPr id="1" name="0 - Εικόνα" descr="παιχνίδι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αιχνίδι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804629" cy="52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6CB" w:rsidRDefault="009B4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994"/>
    <w:multiLevelType w:val="multilevel"/>
    <w:tmpl w:val="954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83068"/>
    <w:multiLevelType w:val="multilevel"/>
    <w:tmpl w:val="9954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46CB"/>
    <w:rsid w:val="00054042"/>
    <w:rsid w:val="001E5E2A"/>
    <w:rsid w:val="00271CDC"/>
    <w:rsid w:val="00517541"/>
    <w:rsid w:val="00592415"/>
    <w:rsid w:val="006F0FDA"/>
    <w:rsid w:val="008D0CE4"/>
    <w:rsid w:val="00932800"/>
    <w:rsid w:val="009B46CB"/>
    <w:rsid w:val="00A135F7"/>
    <w:rsid w:val="00A71CA8"/>
    <w:rsid w:val="00AD0F94"/>
    <w:rsid w:val="00B152F1"/>
    <w:rsid w:val="00BA3AC1"/>
    <w:rsid w:val="00F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46CB"/>
  </w:style>
  <w:style w:type="paragraph" w:styleId="a4">
    <w:name w:val="footer"/>
    <w:basedOn w:val="a"/>
    <w:link w:val="Char0"/>
    <w:uiPriority w:val="99"/>
    <w:semiHidden/>
    <w:unhideWhenUsed/>
    <w:rsid w:val="009B4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46CB"/>
  </w:style>
  <w:style w:type="paragraph" w:styleId="a5">
    <w:name w:val="Balloon Text"/>
    <w:basedOn w:val="a"/>
    <w:link w:val="Char1"/>
    <w:uiPriority w:val="99"/>
    <w:semiHidden/>
    <w:unhideWhenUsed/>
    <w:rsid w:val="009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46CB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B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B4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Theoria%20arxaia/syndesmo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ipap/Ellinikos%20Politismos/Yliko/Theoria%20arxaia/Syndesi-protase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2013-01-07T12:35:00Z</cp:lastPrinted>
  <dcterms:created xsi:type="dcterms:W3CDTF">2013-01-03T14:07:00Z</dcterms:created>
  <dcterms:modified xsi:type="dcterms:W3CDTF">2020-03-18T08:51:00Z</dcterms:modified>
</cp:coreProperties>
</file>